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jc w:val="center"/>
        <w:textAlignment w:val="baseline"/>
        <w:rPr>
          <w:rFonts w:ascii="ＭＳ 明朝" w:hAnsi="ＭＳ 明朝" w:eastAsia="ＭＳ 明朝" w:cs="Times New Roman"/>
          <w:color w:val="000000"/>
          <w:sz w:val="22"/>
        </w:rPr>
      </w:pPr>
      <w:r>
        <w:rPr>
          <w:rFonts w:ascii="Times New Roman" w:hAnsi="Times New Roman" w:cs="ＭＳ 明朝" w:eastAsia="ＭＳ 明朝"/>
          <w:color w:val="000000"/>
          <w:sz w:val="22"/>
        </w:rPr>
        <w:t>令和４年度宮古島市障害者優先調達推進方針</w:t>
      </w:r>
    </w:p>
    <w:p>
      <w:pPr>
        <w:pStyle w:val="Normal"/>
        <w:overflowPunct w:val="true"/>
        <w:jc w:val="left"/>
        <w:textAlignment w:val="baseline"/>
        <w:rPr>
          <w:rFonts w:ascii="ＭＳ 明朝" w:hAnsi="ＭＳ 明朝" w:eastAsia="ＭＳ 明朝" w:cs="Times New Roman"/>
          <w:color w:val="000000"/>
          <w:sz w:val="22"/>
        </w:rPr>
      </w:pPr>
      <w:r>
        <w:rPr>
          <w:rFonts w:ascii="Times New Roman" w:hAnsi="Times New Roman" w:cs="ＭＳ 明朝" w:eastAsia="ＭＳ 明朝"/>
          <w:color w:val="000000"/>
          <w:sz w:val="20"/>
          <w:szCs w:val="20"/>
        </w:rPr>
        <w:t>　　　　　　　　　　　　　　　　　　　　　　　　　　　</w:t>
      </w:r>
      <w:r>
        <w:rPr>
          <w:rFonts w:ascii="Times New Roman" w:hAnsi="Times New Roman" w:cs="Times New Roman" w:eastAsia="ＭＳ 明朝"/>
          <w:color w:val="000000"/>
          <w:sz w:val="20"/>
          <w:szCs w:val="20"/>
        </w:rPr>
        <w:t xml:space="preserve"> </w:t>
      </w:r>
      <w:r>
        <w:rPr>
          <w:rFonts w:ascii="Times New Roman" w:hAnsi="Times New Roman" w:cs="ＭＳ 明朝" w:eastAsia="ＭＳ 明朝"/>
          <w:color w:val="000000"/>
          <w:sz w:val="20"/>
          <w:szCs w:val="20"/>
        </w:rPr>
        <w:t>　</w:t>
      </w:r>
      <w:r>
        <w:rPr>
          <w:rFonts w:ascii="Times New Roman" w:hAnsi="Times New Roman" w:cs="Times New Roman" w:eastAsia="ＭＳ 明朝"/>
          <w:color w:val="000000"/>
          <w:sz w:val="20"/>
          <w:szCs w:val="20"/>
        </w:rPr>
        <w:t xml:space="preserve">    </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１　趣旨</w:t>
      </w:r>
    </w:p>
    <w:p>
      <w:pPr>
        <w:pStyle w:val="Normal"/>
        <w:overflowPunct w:val="true"/>
        <w:textAlignment w:val="baseline"/>
        <w:rPr>
          <w:rFonts w:ascii="ＭＳ 明朝" w:hAnsi="ＭＳ 明朝" w:eastAsia="ＭＳ 明朝" w:cs="ＭＳ 明朝"/>
          <w:color w:val="000000"/>
          <w:sz w:val="22"/>
        </w:rPr>
      </w:pPr>
      <w:r>
        <w:rPr>
          <w:rFonts w:ascii="ＭＳ 明朝" w:hAnsi="ＭＳ 明朝" w:cs="ＭＳ 明朝" w:eastAsia="ＭＳ 明朝"/>
          <w:color w:val="000000"/>
          <w:sz w:val="22"/>
        </w:rPr>
        <w:t>　　　国等による障害者就労施設等からの物品等の調達の推進等に関する法律（平成</w:t>
      </w:r>
      <w:r>
        <w:rPr>
          <w:rFonts w:eastAsia="ＭＳ 明朝" w:cs="ＭＳ 明朝" w:ascii="ＭＳ 明朝" w:hAnsi="ＭＳ 明朝"/>
          <w:color w:val="000000"/>
          <w:sz w:val="22"/>
        </w:rPr>
        <w:t>24</w:t>
      </w:r>
      <w:r>
        <w:rPr>
          <w:rFonts w:ascii="ＭＳ 明朝" w:hAnsi="ＭＳ 明朝" w:cs="ＭＳ 明朝" w:eastAsia="ＭＳ 明朝"/>
          <w:color w:val="000000"/>
          <w:sz w:val="22"/>
        </w:rPr>
        <w:t>年法律　　</w:t>
      </w:r>
    </w:p>
    <w:p>
      <w:pPr>
        <w:pStyle w:val="Normal"/>
        <w:overflowPunct w:val="true"/>
        <w:ind w:firstLine="444"/>
        <w:textAlignment w:val="baseline"/>
        <w:rPr>
          <w:rFonts w:ascii="ＭＳ 明朝" w:hAnsi="ＭＳ 明朝" w:eastAsia="ＭＳ 明朝" w:cs="ＭＳ 明朝"/>
          <w:color w:val="000000"/>
          <w:sz w:val="22"/>
        </w:rPr>
      </w:pPr>
      <w:r>
        <w:rPr>
          <w:rFonts w:ascii="ＭＳ 明朝" w:hAnsi="ＭＳ 明朝" w:cs="ＭＳ 明朝" w:eastAsia="ＭＳ 明朝"/>
          <w:color w:val="000000"/>
          <w:sz w:val="22"/>
        </w:rPr>
        <w:t>第</w:t>
      </w:r>
      <w:r>
        <w:rPr>
          <w:rFonts w:eastAsia="ＭＳ 明朝" w:cs="ＭＳ 明朝" w:ascii="ＭＳ 明朝" w:hAnsi="ＭＳ 明朝"/>
          <w:color w:val="000000"/>
          <w:sz w:val="22"/>
        </w:rPr>
        <w:t>50</w:t>
      </w:r>
      <w:r>
        <w:rPr>
          <w:rFonts w:ascii="ＭＳ 明朝" w:hAnsi="ＭＳ 明朝" w:cs="ＭＳ 明朝" w:eastAsia="ＭＳ 明朝"/>
          <w:color w:val="000000"/>
          <w:sz w:val="22"/>
        </w:rPr>
        <w:t>号。以下「障害者優先調達推進法」という。）第９条に規定する障害者就労施設等か　　</w:t>
      </w:r>
    </w:p>
    <w:p>
      <w:pPr>
        <w:pStyle w:val="Normal"/>
        <w:overflowPunct w:val="true"/>
        <w:ind w:firstLine="444"/>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らの物品等の調達の推進を図るため、以下のとおり方針を定める。</w:t>
      </w:r>
    </w:p>
    <w:p>
      <w:pPr>
        <w:pStyle w:val="Normal"/>
        <w:overflowPunct w:val="true"/>
        <w:textAlignment w:val="baseline"/>
        <w:rPr>
          <w:rFonts w:ascii="ＭＳ 明朝" w:hAnsi="ＭＳ 明朝" w:eastAsia="ＭＳ 明朝" w:cs="Times New Roman"/>
          <w:color w:val="000000"/>
          <w:sz w:val="22"/>
        </w:rPr>
      </w:pPr>
      <w:r>
        <w:rPr>
          <w:rFonts w:eastAsia="ＭＳ 明朝" w:cs="Times New Roman" w:ascii="ＭＳ 明朝" w:hAnsi="ＭＳ 明朝"/>
          <w:color w:val="000000"/>
          <w:sz w:val="22"/>
        </w:rPr>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２　用語の定義</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本方針において使用する用語は、障害者優先調達推進法で使用する用語の例による。</w:t>
      </w:r>
    </w:p>
    <w:p>
      <w:pPr>
        <w:pStyle w:val="Normal"/>
        <w:overflowPunct w:val="true"/>
        <w:textAlignment w:val="baseline"/>
        <w:rPr>
          <w:rFonts w:ascii="ＭＳ 明朝" w:hAnsi="ＭＳ 明朝" w:eastAsia="ＭＳ 明朝" w:cs="Times New Roman"/>
          <w:color w:val="000000"/>
          <w:sz w:val="22"/>
        </w:rPr>
      </w:pPr>
      <w:r>
        <w:rPr>
          <w:rFonts w:eastAsia="ＭＳ 明朝" w:cs="Times New Roman" w:ascii="ＭＳ 明朝" w:hAnsi="ＭＳ 明朝"/>
          <w:color w:val="000000"/>
          <w:sz w:val="22"/>
        </w:rPr>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３　適用範囲</w:t>
      </w:r>
    </w:p>
    <w:p>
      <w:pPr>
        <w:pStyle w:val="Normal"/>
        <w:overflowPunct w:val="true"/>
        <w:textAlignment w:val="baseline"/>
        <w:rPr>
          <w:rFonts w:ascii="ＭＳ 明朝" w:hAnsi="ＭＳ 明朝" w:eastAsia="ＭＳ 明朝" w:cs="ＭＳ 明朝"/>
          <w:color w:val="000000"/>
          <w:sz w:val="22"/>
        </w:rPr>
      </w:pPr>
      <w:r>
        <w:rPr>
          <w:rFonts w:ascii="ＭＳ 明朝" w:hAnsi="ＭＳ 明朝" w:cs="ＭＳ 明朝" w:eastAsia="ＭＳ 明朝"/>
          <w:color w:val="000000"/>
          <w:sz w:val="22"/>
        </w:rPr>
        <w:t>　　　本方針の適用範囲は、市の全ての機関が発注する物品又は役務（以下「物品等」という。）　　</w:t>
      </w:r>
    </w:p>
    <w:p>
      <w:pPr>
        <w:pStyle w:val="Normal"/>
        <w:overflowPunct w:val="true"/>
        <w:ind w:firstLine="444"/>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の調達とする。</w:t>
      </w:r>
    </w:p>
    <w:p>
      <w:pPr>
        <w:pStyle w:val="Normal"/>
        <w:overflowPunct w:val="true"/>
        <w:textAlignment w:val="baseline"/>
        <w:rPr>
          <w:rFonts w:ascii="ＭＳ 明朝" w:hAnsi="ＭＳ 明朝" w:eastAsia="ＭＳ 明朝" w:cs="Times New Roman"/>
          <w:color w:val="000000"/>
          <w:sz w:val="22"/>
        </w:rPr>
      </w:pPr>
      <w:r>
        <w:rPr>
          <w:rFonts w:eastAsia="ＭＳ 明朝" w:cs="Times New Roman" w:ascii="ＭＳ 明朝" w:hAnsi="ＭＳ 明朝"/>
          <w:color w:val="000000"/>
          <w:sz w:val="22"/>
        </w:rPr>
      </w:r>
    </w:p>
    <w:p>
      <w:pPr>
        <w:pStyle w:val="Normal"/>
        <w:overflowPunct w:val="true"/>
        <w:jc w:val="left"/>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４　対象となる障害者就労施設等</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対象となる障害者就労施設等は、次のとおりとする。</w:t>
      </w:r>
    </w:p>
    <w:p>
      <w:pPr>
        <w:pStyle w:val="Normal"/>
        <w:overflowPunct w:val="true"/>
        <w:textAlignment w:val="baseline"/>
        <w:rPr>
          <w:rFonts w:ascii="ＭＳ 明朝" w:hAnsi="ＭＳ 明朝" w:eastAsia="ＭＳ 明朝" w:cs="ＭＳ 明朝"/>
          <w:color w:val="000000"/>
          <w:sz w:val="22"/>
        </w:rPr>
      </w:pPr>
      <w:r>
        <w:rPr>
          <w:rFonts w:ascii="ＭＳ 明朝" w:hAnsi="ＭＳ 明朝" w:cs="ＭＳ 明朝" w:eastAsia="ＭＳ 明朝"/>
          <w:color w:val="000000"/>
          <w:sz w:val="22"/>
        </w:rPr>
        <w:t>　　</w:t>
      </w:r>
      <w:r>
        <w:rPr>
          <w:rFonts w:eastAsia="ＭＳ 明朝" w:cs="ＭＳ 明朝" w:ascii="ＭＳ 明朝" w:hAnsi="ＭＳ 明朝"/>
          <w:color w:val="000000"/>
          <w:sz w:val="22"/>
        </w:rPr>
        <w:t xml:space="preserve">(1) </w:t>
      </w:r>
      <w:r>
        <w:rPr>
          <w:rFonts w:ascii="ＭＳ 明朝" w:hAnsi="ＭＳ 明朝" w:cs="ＭＳ 明朝" w:eastAsia="ＭＳ 明朝"/>
          <w:color w:val="000000"/>
          <w:sz w:val="22"/>
        </w:rPr>
        <w:t>障害者の日常生活及び社会生活を総合的に支援するための法律（平成</w:t>
      </w:r>
      <w:r>
        <w:rPr>
          <w:rFonts w:eastAsia="ＭＳ 明朝" w:cs="ＭＳ 明朝" w:ascii="ＭＳ 明朝" w:hAnsi="ＭＳ 明朝"/>
          <w:color w:val="000000"/>
          <w:sz w:val="22"/>
        </w:rPr>
        <w:t>17</w:t>
      </w:r>
      <w:r>
        <w:rPr>
          <w:rFonts w:ascii="ＭＳ 明朝" w:hAnsi="ＭＳ 明朝" w:cs="ＭＳ 明朝" w:eastAsia="ＭＳ 明朝"/>
          <w:color w:val="000000"/>
          <w:sz w:val="22"/>
        </w:rPr>
        <w:t>年法律第</w:t>
      </w:r>
      <w:r>
        <w:rPr>
          <w:rFonts w:eastAsia="ＭＳ 明朝" w:cs="ＭＳ 明朝" w:ascii="ＭＳ 明朝" w:hAnsi="ＭＳ 明朝"/>
          <w:color w:val="000000"/>
          <w:sz w:val="22"/>
        </w:rPr>
        <w:t>123</w:t>
      </w:r>
      <w:r>
        <w:rPr>
          <w:rFonts w:ascii="ＭＳ 明朝" w:hAnsi="ＭＳ 明朝" w:cs="ＭＳ 明朝" w:eastAsia="ＭＳ 明朝"/>
          <w:color w:val="000000"/>
          <w:sz w:val="22"/>
        </w:rPr>
        <w:t>　　　</w:t>
      </w:r>
    </w:p>
    <w:p>
      <w:pPr>
        <w:pStyle w:val="Normal"/>
        <w:overflowPunct w:val="true"/>
        <w:ind w:firstLine="666"/>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号。以下「障害者総合支援法」という。）に基づく施設等</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ア　就労継続支援事業所（Ａ型、Ｂ型）</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イ　就労移行支援事業所</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ウ　生活介護事業所</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エ　障害者支援施設（生活介護、就労移行支援及び就労継続支援を行う入所施設）</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オ　地域活動支援センター</w:t>
      </w:r>
    </w:p>
    <w:p>
      <w:pPr>
        <w:pStyle w:val="Normal"/>
        <w:overflowPunct w:val="true"/>
        <w:ind w:left="668" w:hanging="0"/>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カ　小規模作業所</w:t>
      </w:r>
    </w:p>
    <w:p>
      <w:pPr>
        <w:pStyle w:val="Normal"/>
        <w:overflowPunct w:val="true"/>
        <w:textAlignment w:val="baseline"/>
        <w:rPr>
          <w:rFonts w:ascii="ＭＳ 明朝" w:hAnsi="ＭＳ 明朝" w:eastAsia="ＭＳ 明朝" w:cs="ＭＳ 明朝"/>
          <w:color w:val="000000"/>
          <w:sz w:val="22"/>
        </w:rPr>
      </w:pPr>
      <w:r>
        <w:rPr>
          <w:rFonts w:ascii="ＭＳ 明朝" w:hAnsi="ＭＳ 明朝" w:cs="ＭＳ 明朝" w:eastAsia="ＭＳ 明朝"/>
          <w:color w:val="000000"/>
          <w:sz w:val="22"/>
        </w:rPr>
        <w:t>　　</w:t>
      </w:r>
      <w:r>
        <w:rPr>
          <w:rFonts w:eastAsia="ＭＳ 明朝" w:cs="ＭＳ 明朝" w:ascii="ＭＳ 明朝" w:hAnsi="ＭＳ 明朝"/>
          <w:color w:val="000000"/>
          <w:sz w:val="22"/>
        </w:rPr>
        <w:t xml:space="preserve">(2) </w:t>
      </w:r>
      <w:r>
        <w:rPr>
          <w:rFonts w:ascii="ＭＳ 明朝" w:hAnsi="ＭＳ 明朝" w:cs="ＭＳ 明朝" w:eastAsia="ＭＳ 明朝"/>
          <w:color w:val="000000"/>
          <w:sz w:val="22"/>
        </w:rPr>
        <w:t>国等による障害者就労施設等からの物品等の調達の推進等に関する法律施行令（平成　　　</w:t>
      </w:r>
    </w:p>
    <w:p>
      <w:pPr>
        <w:pStyle w:val="Normal"/>
        <w:overflowPunct w:val="true"/>
        <w:ind w:firstLine="666"/>
        <w:textAlignment w:val="baseline"/>
        <w:rPr>
          <w:rFonts w:ascii="ＭＳ 明朝" w:hAnsi="ＭＳ 明朝" w:eastAsia="ＭＳ 明朝" w:cs="Times New Roman"/>
          <w:color w:val="000000"/>
          <w:sz w:val="22"/>
        </w:rPr>
      </w:pPr>
      <w:r>
        <w:rPr>
          <w:rFonts w:eastAsia="ＭＳ 明朝" w:cs="ＭＳ 明朝" w:ascii="ＭＳ 明朝" w:hAnsi="ＭＳ 明朝"/>
          <w:color w:val="000000"/>
          <w:sz w:val="22"/>
        </w:rPr>
        <w:t>25</w:t>
      </w:r>
      <w:r>
        <w:rPr>
          <w:rFonts w:ascii="ＭＳ 明朝" w:hAnsi="ＭＳ 明朝" w:cs="ＭＳ 明朝" w:eastAsia="ＭＳ 明朝"/>
          <w:color w:val="000000"/>
          <w:sz w:val="22"/>
        </w:rPr>
        <w:t>年政令第</w:t>
      </w:r>
      <w:r>
        <w:rPr>
          <w:rFonts w:eastAsia="ＭＳ 明朝" w:cs="ＭＳ 明朝" w:ascii="ＭＳ 明朝" w:hAnsi="ＭＳ 明朝"/>
          <w:color w:val="000000"/>
          <w:sz w:val="22"/>
        </w:rPr>
        <w:t>22</w:t>
      </w:r>
      <w:r>
        <w:rPr>
          <w:rFonts w:ascii="ＭＳ 明朝" w:hAnsi="ＭＳ 明朝" w:cs="ＭＳ 明朝" w:eastAsia="ＭＳ 明朝"/>
          <w:color w:val="000000"/>
          <w:sz w:val="22"/>
        </w:rPr>
        <w:t>号）に基づく施設</w:t>
      </w:r>
    </w:p>
    <w:p>
      <w:pPr>
        <w:pStyle w:val="Normal"/>
        <w:overflowPunct w:val="true"/>
        <w:textAlignment w:val="baseline"/>
        <w:rPr>
          <w:rFonts w:ascii="ＭＳ 明朝" w:hAnsi="ＭＳ 明朝" w:eastAsia="ＭＳ 明朝" w:cs="ＭＳ 明朝"/>
          <w:color w:val="000000"/>
          <w:sz w:val="22"/>
        </w:rPr>
      </w:pPr>
      <w:r>
        <w:rPr>
          <w:rFonts w:ascii="ＭＳ 明朝" w:hAnsi="ＭＳ 明朝" w:cs="ＭＳ 明朝" w:eastAsia="ＭＳ 明朝"/>
          <w:color w:val="000000"/>
          <w:sz w:val="22"/>
        </w:rPr>
        <w:t>　　　ア　障害者の雇用の促進等に関する法律（昭和</w:t>
      </w:r>
      <w:r>
        <w:rPr>
          <w:rFonts w:eastAsia="ＭＳ 明朝" w:cs="ＭＳ 明朝" w:ascii="ＭＳ 明朝" w:hAnsi="ＭＳ 明朝"/>
          <w:color w:val="000000"/>
          <w:sz w:val="22"/>
        </w:rPr>
        <w:t>35</w:t>
      </w:r>
      <w:r>
        <w:rPr>
          <w:rFonts w:ascii="ＭＳ 明朝" w:hAnsi="ＭＳ 明朝" w:cs="ＭＳ 明朝" w:eastAsia="ＭＳ 明朝"/>
          <w:color w:val="000000"/>
          <w:sz w:val="22"/>
        </w:rPr>
        <w:t>年第</w:t>
      </w:r>
      <w:r>
        <w:rPr>
          <w:rFonts w:eastAsia="ＭＳ 明朝" w:cs="ＭＳ 明朝" w:ascii="ＭＳ 明朝" w:hAnsi="ＭＳ 明朝"/>
          <w:color w:val="000000"/>
          <w:sz w:val="22"/>
        </w:rPr>
        <w:t>123</w:t>
      </w:r>
      <w:r>
        <w:rPr>
          <w:rFonts w:ascii="ＭＳ 明朝" w:hAnsi="ＭＳ 明朝" w:cs="ＭＳ 明朝" w:eastAsia="ＭＳ 明朝"/>
          <w:color w:val="000000"/>
          <w:sz w:val="22"/>
        </w:rPr>
        <w:t>号。以下「障害者雇用促進</w:t>
      </w:r>
    </w:p>
    <w:p>
      <w:pPr>
        <w:pStyle w:val="Normal"/>
        <w:overflowPunct w:val="true"/>
        <w:ind w:firstLine="888"/>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法」という。）に基づく子会社の事業所（特例子会社）</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イ　重度障害者多数雇用事業所（①～③の全てを満たすもの）</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xml:space="preserve">      </w:t>
      </w:r>
      <w:r>
        <w:rPr>
          <w:rFonts w:ascii="ＭＳ 明朝" w:hAnsi="ＭＳ 明朝" w:cs="ＭＳ 明朝" w:eastAsia="ＭＳ 明朝"/>
          <w:color w:val="000000"/>
          <w:sz w:val="22"/>
        </w:rPr>
        <w:t>　①障害者の雇用者数が５人以上</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②障害者の割合が従業員の</w:t>
      </w:r>
      <w:r>
        <w:rPr>
          <w:rFonts w:eastAsia="ＭＳ 明朝" w:cs="ＭＳ 明朝" w:ascii="ＭＳ 明朝" w:hAnsi="ＭＳ 明朝"/>
          <w:color w:val="000000"/>
          <w:sz w:val="22"/>
        </w:rPr>
        <w:t>20</w:t>
      </w:r>
      <w:r>
        <w:rPr>
          <w:rFonts w:ascii="ＭＳ 明朝" w:hAnsi="ＭＳ 明朝" w:cs="ＭＳ 明朝" w:eastAsia="ＭＳ 明朝"/>
          <w:color w:val="000000"/>
          <w:sz w:val="22"/>
        </w:rPr>
        <w:t>％以上</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③雇用障害者に占める重度身体障害者、知的障害者及び精神障害者の割合が</w:t>
      </w:r>
      <w:r>
        <w:rPr>
          <w:rFonts w:eastAsia="ＭＳ 明朝" w:cs="ＭＳ 明朝" w:ascii="ＭＳ 明朝" w:hAnsi="ＭＳ 明朝"/>
          <w:color w:val="000000"/>
          <w:sz w:val="22"/>
        </w:rPr>
        <w:t>30</w:t>
      </w:r>
      <w:r>
        <w:rPr>
          <w:rFonts w:ascii="ＭＳ 明朝" w:hAnsi="ＭＳ 明朝" w:cs="ＭＳ 明朝" w:eastAsia="ＭＳ 明朝"/>
          <w:color w:val="000000"/>
          <w:sz w:val="22"/>
        </w:rPr>
        <w:t>％以上</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w:t>
      </w:r>
      <w:r>
        <w:rPr>
          <w:rFonts w:eastAsia="ＭＳ 明朝" w:cs="ＭＳ 明朝" w:ascii="ＭＳ 明朝" w:hAnsi="ＭＳ 明朝"/>
          <w:color w:val="000000"/>
          <w:sz w:val="22"/>
        </w:rPr>
        <w:t xml:space="preserve">(3) </w:t>
      </w:r>
      <w:r>
        <w:rPr>
          <w:rFonts w:ascii="ＭＳ 明朝" w:hAnsi="ＭＳ 明朝" w:cs="ＭＳ 明朝" w:eastAsia="ＭＳ 明朝"/>
          <w:color w:val="000000"/>
          <w:sz w:val="22"/>
        </w:rPr>
        <w:t>障害者雇用促進法に基づく在宅就業障害者及び在宅就業支援団体</w:t>
      </w:r>
    </w:p>
    <w:p>
      <w:pPr>
        <w:pStyle w:val="Normal"/>
        <w:overflowPunct w:val="true"/>
        <w:textAlignment w:val="baseline"/>
        <w:rPr>
          <w:rFonts w:ascii="ＭＳ 明朝" w:hAnsi="ＭＳ 明朝" w:eastAsia="ＭＳ 明朝" w:cs="Times New Roman"/>
          <w:color w:val="000000"/>
          <w:sz w:val="22"/>
        </w:rPr>
      </w:pPr>
      <w:r>
        <w:rPr>
          <w:rFonts w:eastAsia="ＭＳ 明朝" w:cs="Times New Roman" w:ascii="ＭＳ 明朝" w:hAnsi="ＭＳ 明朝"/>
          <w:color w:val="000000"/>
          <w:sz w:val="22"/>
        </w:rPr>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５　調達する物品等の種類</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特に分野を限定することなく、調達に努める。</w:t>
      </w:r>
    </w:p>
    <w:p>
      <w:pPr>
        <w:pStyle w:val="Normal"/>
        <w:overflowPunct w:val="true"/>
        <w:textAlignment w:val="baseline"/>
        <w:rPr>
          <w:rFonts w:ascii="ＭＳ 明朝" w:hAnsi="ＭＳ 明朝" w:eastAsia="ＭＳ 明朝" w:cs="Times New Roman"/>
          <w:color w:val="000000"/>
          <w:sz w:val="22"/>
        </w:rPr>
      </w:pPr>
      <w:r>
        <w:rPr>
          <w:rFonts w:eastAsia="ＭＳ 明朝" w:cs="Times New Roman" w:ascii="ＭＳ 明朝" w:hAnsi="ＭＳ 明朝"/>
          <w:color w:val="000000"/>
          <w:sz w:val="22"/>
        </w:rPr>
      </w:r>
    </w:p>
    <w:p>
      <w:pPr>
        <w:pStyle w:val="Normal"/>
        <w:overflowPunct w:val="true"/>
        <w:textAlignment w:val="baseline"/>
        <w:rPr>
          <w:rFonts w:ascii="ＭＳ 明朝" w:hAnsi="ＭＳ 明朝" w:eastAsia="ＭＳ 明朝" w:cs="Times New Roman"/>
          <w:color w:val="000000"/>
          <w:sz w:val="22"/>
        </w:rPr>
      </w:pPr>
      <w:r>
        <w:rPr>
          <w:rFonts w:ascii="Times New Roman" w:hAnsi="Times New Roman" w:cs="ＭＳ 明朝" w:eastAsia="ＭＳ 明朝"/>
          <w:color w:val="000000"/>
          <w:sz w:val="22"/>
        </w:rPr>
        <w:t>６　担当窓口</w:t>
      </w:r>
    </w:p>
    <w:p>
      <w:pPr>
        <w:pStyle w:val="Normal"/>
        <w:overflowPunct w:val="true"/>
        <w:textAlignment w:val="baseline"/>
        <w:rPr>
          <w:rFonts w:ascii="ＭＳ 明朝" w:hAnsi="ＭＳ 明朝" w:eastAsia="ＭＳ 明朝" w:cs="Times New Roman"/>
          <w:color w:val="000000"/>
          <w:sz w:val="22"/>
        </w:rPr>
      </w:pPr>
      <w:r>
        <w:rPr>
          <w:rFonts w:ascii="Times New Roman" w:hAnsi="Times New Roman" w:cs="ＭＳ 明朝" w:eastAsia="ＭＳ 明朝"/>
          <w:color w:val="000000"/>
          <w:sz w:val="22"/>
        </w:rPr>
        <w:t>　　　本方針の担当窓口は、福祉部障がい福祉課（以下「担当課」という。）とする。</w:t>
      </w:r>
    </w:p>
    <w:p>
      <w:pPr>
        <w:pStyle w:val="Normal"/>
        <w:overflowPunct w:val="true"/>
        <w:textAlignment w:val="baseline"/>
        <w:rPr>
          <w:rFonts w:ascii="ＭＳ 明朝" w:hAnsi="ＭＳ 明朝" w:eastAsia="ＭＳ 明朝" w:cs="Times New Roman"/>
          <w:color w:val="000000"/>
          <w:sz w:val="22"/>
        </w:rPr>
      </w:pPr>
      <w:r>
        <w:rPr>
          <w:rFonts w:eastAsia="ＭＳ 明朝" w:cs="Times New Roman" w:ascii="ＭＳ 明朝" w:hAnsi="ＭＳ 明朝"/>
          <w:color w:val="000000"/>
          <w:sz w:val="22"/>
        </w:rPr>
      </w:r>
    </w:p>
    <w:p>
      <w:pPr>
        <w:pStyle w:val="Normal"/>
        <w:overflowPunct w:val="true"/>
        <w:textAlignment w:val="baseline"/>
        <w:rPr>
          <w:rFonts w:ascii="ＭＳ 明朝" w:hAnsi="ＭＳ 明朝" w:eastAsia="ＭＳ 明朝" w:cs="Times New Roman"/>
          <w:color w:val="000000"/>
          <w:sz w:val="22"/>
        </w:rPr>
      </w:pPr>
      <w:r>
        <w:rPr>
          <w:rFonts w:ascii="Times New Roman" w:hAnsi="Times New Roman" w:cs="ＭＳ 明朝" w:eastAsia="ＭＳ 明朝"/>
          <w:color w:val="000000"/>
          <w:sz w:val="22"/>
        </w:rPr>
        <w:t>７　調達の推進方法</w:t>
      </w:r>
    </w:p>
    <w:p>
      <w:pPr>
        <w:pStyle w:val="Normal"/>
        <w:overflowPunct w:val="true"/>
        <w:jc w:val="left"/>
        <w:textAlignment w:val="baseline"/>
        <w:rPr>
          <w:rFonts w:ascii="ＭＳ 明朝" w:hAnsi="ＭＳ 明朝" w:eastAsia="ＭＳ 明朝" w:cs="ＭＳ 明朝"/>
          <w:color w:val="000000"/>
          <w:sz w:val="22"/>
        </w:rPr>
      </w:pPr>
      <w:r>
        <w:rPr>
          <w:rFonts w:ascii="ＭＳ 明朝" w:hAnsi="ＭＳ 明朝" w:cs="ＭＳ 明朝" w:eastAsia="ＭＳ 明朝"/>
          <w:color w:val="000000"/>
          <w:sz w:val="22"/>
        </w:rPr>
        <w:t>　　</w:t>
      </w:r>
      <w:r>
        <w:rPr>
          <w:rFonts w:eastAsia="ＭＳ 明朝" w:cs="ＭＳ 明朝" w:ascii="ＭＳ 明朝" w:hAnsi="ＭＳ 明朝"/>
          <w:color w:val="000000"/>
          <w:sz w:val="22"/>
        </w:rPr>
        <w:t xml:space="preserve">(1) </w:t>
      </w:r>
      <w:r>
        <w:rPr>
          <w:rFonts w:ascii="ＭＳ 明朝" w:hAnsi="ＭＳ 明朝" w:cs="ＭＳ 明朝" w:eastAsia="ＭＳ 明朝"/>
          <w:color w:val="000000"/>
          <w:sz w:val="22"/>
        </w:rPr>
        <w:t>担当課は、年度ごとに、前年度の調達実績等を勘案し、各機関の意見を聞いたうえ</w:t>
      </w:r>
    </w:p>
    <w:p>
      <w:pPr>
        <w:pStyle w:val="Normal"/>
        <w:overflowPunct w:val="true"/>
        <w:ind w:firstLine="666"/>
        <w:jc w:val="left"/>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で、当該年度に調達する物品等についての目標を設定する。</w:t>
      </w:r>
    </w:p>
    <w:p>
      <w:pPr>
        <w:pStyle w:val="Normal"/>
        <w:overflowPunct w:val="true"/>
        <w:textAlignment w:val="baseline"/>
        <w:rPr>
          <w:rFonts w:ascii="ＭＳ 明朝" w:hAnsi="ＭＳ 明朝" w:eastAsia="ＭＳ 明朝" w:cs="ＭＳ 明朝"/>
          <w:color w:val="000000"/>
          <w:sz w:val="22"/>
        </w:rPr>
      </w:pPr>
      <w:r>
        <w:rPr>
          <w:rFonts w:ascii="ＭＳ 明朝" w:hAnsi="ＭＳ 明朝" w:cs="ＭＳ 明朝" w:eastAsia="ＭＳ 明朝"/>
          <w:color w:val="000000"/>
          <w:sz w:val="22"/>
        </w:rPr>
        <w:t>　　</w:t>
      </w:r>
      <w:r>
        <w:rPr>
          <w:rFonts w:eastAsia="ＭＳ 明朝" w:cs="ＭＳ 明朝" w:ascii="ＭＳ 明朝" w:hAnsi="ＭＳ 明朝"/>
          <w:color w:val="000000"/>
          <w:sz w:val="22"/>
        </w:rPr>
        <w:t xml:space="preserve">(2) </w:t>
      </w:r>
      <w:r>
        <w:rPr>
          <w:rFonts w:ascii="ＭＳ 明朝" w:hAnsi="ＭＳ 明朝" w:cs="ＭＳ 明朝" w:eastAsia="ＭＳ 明朝"/>
          <w:color w:val="000000"/>
          <w:sz w:val="22"/>
        </w:rPr>
        <w:t>障害者就労施設等からの物品等の調達に当たっては、予算の適正な執行並びに競争性　　　</w:t>
      </w:r>
    </w:p>
    <w:p>
      <w:pPr>
        <w:pStyle w:val="Normal"/>
        <w:overflowPunct w:val="true"/>
        <w:ind w:firstLine="666"/>
        <w:textAlignment w:val="baseline"/>
        <w:rPr>
          <w:rFonts w:ascii="ＭＳ 明朝" w:hAnsi="ＭＳ 明朝" w:eastAsia="ＭＳ 明朝" w:cs="ＭＳ 明朝"/>
          <w:color w:val="000000"/>
          <w:sz w:val="22"/>
        </w:rPr>
      </w:pPr>
      <w:r>
        <w:rPr>
          <w:rFonts w:ascii="ＭＳ 明朝" w:hAnsi="ＭＳ 明朝" w:cs="ＭＳ 明朝" w:eastAsia="ＭＳ 明朝"/>
          <w:color w:val="000000"/>
          <w:sz w:val="22"/>
        </w:rPr>
        <w:t>及び透明性の確保に配慮しつつ、地方自治法施行令（昭和</w:t>
      </w:r>
      <w:r>
        <w:rPr>
          <w:rFonts w:eastAsia="ＭＳ 明朝" w:cs="ＭＳ 明朝" w:ascii="ＭＳ 明朝" w:hAnsi="ＭＳ 明朝"/>
          <w:color w:val="000000"/>
          <w:sz w:val="22"/>
        </w:rPr>
        <w:t>22</w:t>
      </w:r>
      <w:r>
        <w:rPr>
          <w:rFonts w:ascii="ＭＳ 明朝" w:hAnsi="ＭＳ 明朝" w:cs="ＭＳ 明朝" w:eastAsia="ＭＳ 明朝"/>
          <w:color w:val="000000"/>
          <w:sz w:val="22"/>
        </w:rPr>
        <w:t>年政令第</w:t>
      </w:r>
      <w:r>
        <w:rPr>
          <w:rFonts w:eastAsia="ＭＳ 明朝" w:cs="ＭＳ 明朝" w:ascii="ＭＳ 明朝" w:hAnsi="ＭＳ 明朝"/>
          <w:color w:val="000000"/>
          <w:sz w:val="22"/>
        </w:rPr>
        <w:t>16</w:t>
      </w:r>
      <w:r>
        <w:rPr>
          <w:rFonts w:ascii="ＭＳ 明朝" w:hAnsi="ＭＳ 明朝" w:cs="ＭＳ 明朝" w:eastAsia="ＭＳ 明朝"/>
          <w:color w:val="000000"/>
          <w:sz w:val="22"/>
        </w:rPr>
        <w:t>号）第</w:t>
      </w:r>
      <w:r>
        <w:rPr>
          <w:rFonts w:eastAsia="ＭＳ 明朝" w:cs="ＭＳ 明朝" w:ascii="ＭＳ 明朝" w:hAnsi="ＭＳ 明朝"/>
          <w:color w:val="000000"/>
          <w:sz w:val="22"/>
        </w:rPr>
        <w:t>167</w:t>
      </w:r>
      <w:r>
        <w:rPr>
          <w:rFonts w:ascii="ＭＳ 明朝" w:hAnsi="ＭＳ 明朝" w:cs="ＭＳ 明朝" w:eastAsia="ＭＳ 明朝"/>
          <w:color w:val="000000"/>
          <w:sz w:val="22"/>
        </w:rPr>
        <w:t>条</w:t>
      </w:r>
    </w:p>
    <w:p>
      <w:pPr>
        <w:pStyle w:val="Normal"/>
        <w:overflowPunct w:val="true"/>
        <w:ind w:firstLine="666"/>
        <w:textAlignment w:val="baseline"/>
        <w:rPr>
          <w:rFonts w:ascii="ＭＳ 明朝" w:hAnsi="ＭＳ 明朝" w:eastAsia="ＭＳ 明朝" w:cs="ＭＳ 明朝"/>
          <w:color w:val="000000"/>
          <w:sz w:val="22"/>
        </w:rPr>
      </w:pPr>
      <w:r>
        <w:rPr>
          <w:rFonts w:ascii="ＭＳ 明朝" w:hAnsi="ＭＳ 明朝" w:cs="ＭＳ 明朝" w:eastAsia="ＭＳ 明朝"/>
          <w:color w:val="000000"/>
          <w:sz w:val="22"/>
        </w:rPr>
        <w:t>の２第１項第３号及び宮古島市契約規則（平成</w:t>
      </w:r>
      <w:r>
        <w:rPr>
          <w:rFonts w:eastAsia="ＭＳ 明朝" w:cs="ＭＳ 明朝" w:ascii="ＭＳ 明朝" w:hAnsi="ＭＳ 明朝"/>
          <w:color w:val="000000"/>
          <w:sz w:val="22"/>
        </w:rPr>
        <w:t>22</w:t>
      </w:r>
      <w:r>
        <w:rPr>
          <w:rFonts w:ascii="ＭＳ 明朝" w:hAnsi="ＭＳ 明朝" w:cs="ＭＳ 明朝" w:eastAsia="ＭＳ 明朝"/>
          <w:color w:val="000000"/>
          <w:sz w:val="22"/>
        </w:rPr>
        <w:t>年宮古島市規則第４号）第</w:t>
      </w:r>
      <w:r>
        <w:rPr>
          <w:rFonts w:eastAsia="ＭＳ 明朝" w:cs="ＭＳ 明朝" w:ascii="ＭＳ 明朝" w:hAnsi="ＭＳ 明朝"/>
          <w:color w:val="000000"/>
          <w:sz w:val="22"/>
        </w:rPr>
        <w:t>20</w:t>
      </w:r>
      <w:r>
        <w:rPr>
          <w:rFonts w:ascii="ＭＳ 明朝" w:hAnsi="ＭＳ 明朝" w:cs="ＭＳ 明朝" w:eastAsia="ＭＳ 明朝"/>
          <w:color w:val="000000"/>
          <w:sz w:val="22"/>
        </w:rPr>
        <w:t>条第２</w:t>
      </w:r>
    </w:p>
    <w:p>
      <w:pPr>
        <w:pStyle w:val="Normal"/>
        <w:overflowPunct w:val="true"/>
        <w:ind w:firstLine="666"/>
        <w:textAlignment w:val="baseline"/>
        <w:rPr>
          <w:rFonts w:ascii="ＭＳ 明朝" w:hAnsi="ＭＳ 明朝" w:eastAsia="ＭＳ 明朝" w:cs="ＭＳ 明朝"/>
          <w:color w:val="000000"/>
          <w:sz w:val="22"/>
        </w:rPr>
      </w:pPr>
      <w:r>
        <w:rPr>
          <w:rFonts w:ascii="ＭＳ 明朝" w:hAnsi="ＭＳ 明朝" w:cs="ＭＳ 明朝" w:eastAsia="ＭＳ 明朝"/>
          <w:color w:val="000000"/>
          <w:sz w:val="22"/>
        </w:rPr>
        <w:t>項等の規定に基づく、予算の適正な執行に配慮しつつ、随意契約を維持するなど、調達</w:t>
      </w:r>
    </w:p>
    <w:p>
      <w:pPr>
        <w:pStyle w:val="Normal"/>
        <w:overflowPunct w:val="true"/>
        <w:ind w:firstLine="666"/>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の推進に努めるものとする。</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w:t>
      </w:r>
      <w:r>
        <w:rPr>
          <w:rFonts w:eastAsia="ＭＳ 明朝" w:cs="ＭＳ 明朝" w:ascii="ＭＳ 明朝" w:hAnsi="ＭＳ 明朝"/>
          <w:color w:val="000000"/>
          <w:sz w:val="22"/>
        </w:rPr>
        <w:t xml:space="preserve">(3) </w:t>
      </w:r>
      <w:r>
        <w:rPr>
          <w:rFonts w:ascii="ＭＳ 明朝" w:hAnsi="ＭＳ 明朝" w:cs="ＭＳ 明朝" w:eastAsia="ＭＳ 明朝"/>
          <w:color w:val="000000"/>
          <w:sz w:val="22"/>
        </w:rPr>
        <w:t>障害者就労施設等から供給可能な物品等については、担当課が当該施設等からの情報</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をもとに各機関へ情報提供する。</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w:t>
      </w:r>
      <w:r>
        <w:rPr>
          <w:rFonts w:eastAsia="ＭＳ 明朝" w:cs="ＭＳ 明朝" w:ascii="ＭＳ 明朝" w:hAnsi="ＭＳ 明朝"/>
          <w:color w:val="000000"/>
          <w:sz w:val="22"/>
        </w:rPr>
        <w:t xml:space="preserve">(4) </w:t>
      </w:r>
      <w:r>
        <w:rPr>
          <w:rFonts w:ascii="ＭＳ 明朝" w:hAnsi="ＭＳ 明朝" w:cs="ＭＳ 明朝" w:eastAsia="ＭＳ 明朝"/>
          <w:color w:val="000000"/>
          <w:sz w:val="22"/>
        </w:rPr>
        <w:t>障害者就労施設等に配慮した納期の設定に努めるものとする。</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w:t>
      </w:r>
      <w:r>
        <w:rPr>
          <w:rFonts w:eastAsia="ＭＳ 明朝" w:cs="ＭＳ 明朝" w:ascii="ＭＳ 明朝" w:hAnsi="ＭＳ 明朝"/>
          <w:color w:val="000000"/>
          <w:sz w:val="22"/>
        </w:rPr>
        <w:t xml:space="preserve">(5) </w:t>
      </w:r>
      <w:r>
        <w:rPr>
          <w:rFonts w:ascii="ＭＳ 明朝" w:hAnsi="ＭＳ 明朝" w:cs="ＭＳ 明朝" w:eastAsia="ＭＳ 明朝"/>
          <w:color w:val="000000"/>
          <w:sz w:val="22"/>
        </w:rPr>
        <w:t>担当課は、年度ごとに部局毎、種別毎の実績を調査し、市の各機関へ提供のうえ、発</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注が可能と見込まれる物品等の情報の集約を行う。</w:t>
      </w:r>
    </w:p>
    <w:p>
      <w:pPr>
        <w:pStyle w:val="Normal"/>
        <w:overflowPunct w:val="true"/>
        <w:textAlignment w:val="baseline"/>
        <w:rPr>
          <w:rFonts w:ascii="ＭＳ 明朝" w:hAnsi="ＭＳ 明朝" w:eastAsia="ＭＳ 明朝" w:cs="Times New Roman"/>
          <w:color w:val="000000"/>
          <w:sz w:val="22"/>
        </w:rPr>
      </w:pPr>
      <w:r>
        <w:rPr>
          <w:rFonts w:eastAsia="ＭＳ 明朝" w:cs="Times New Roman" w:ascii="ＭＳ 明朝" w:hAnsi="ＭＳ 明朝"/>
          <w:color w:val="000000"/>
          <w:sz w:val="22"/>
        </w:rPr>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８　共同受注窓口の活用</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障害者総合支援法に基づく施設等に係る物品等の情報収集及び受発注調整に当たっては</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共同受注窓口である「一般財団法人沖縄県セルプセンター」</w:t>
      </w:r>
      <w:r>
        <w:rPr>
          <w:rFonts w:eastAsia="ＭＳ 明朝" w:cs="ＭＳ 明朝" w:ascii="ＭＳ 明朝" w:hAnsi="ＭＳ 明朝"/>
          <w:color w:val="000000"/>
          <w:sz w:val="22"/>
        </w:rPr>
        <w:t>(※</w:t>
      </w:r>
      <w:r>
        <w:rPr>
          <w:rFonts w:ascii="ＭＳ 明朝" w:hAnsi="ＭＳ 明朝" w:cs="ＭＳ 明朝" w:eastAsia="ＭＳ 明朝"/>
          <w:color w:val="000000"/>
          <w:sz w:val="22"/>
        </w:rPr>
        <w:t>注</w:t>
      </w:r>
      <w:r>
        <w:rPr>
          <w:rFonts w:eastAsia="ＭＳ 明朝" w:cs="ＭＳ 明朝" w:ascii="ＭＳ 明朝" w:hAnsi="ＭＳ 明朝"/>
          <w:color w:val="000000"/>
          <w:sz w:val="22"/>
        </w:rPr>
        <w:t>)</w:t>
      </w:r>
      <w:r>
        <w:rPr>
          <w:rFonts w:ascii="ＭＳ 明朝" w:hAnsi="ＭＳ 明朝" w:cs="ＭＳ 明朝" w:eastAsia="ＭＳ 明朝"/>
          <w:color w:val="000000"/>
          <w:sz w:val="22"/>
        </w:rPr>
        <w:t>を積極的に活用し、発</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注推進を図るものとする。</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w:t>
      </w:r>
      <w:r>
        <w:rPr>
          <w:rFonts w:eastAsia="ＭＳ 明朝" w:cs="ＭＳ 明朝" w:ascii="ＭＳ 明朝" w:hAnsi="ＭＳ 明朝"/>
          <w:color w:val="000000"/>
          <w:sz w:val="22"/>
        </w:rPr>
        <w:t>(※</w:t>
      </w:r>
      <w:r>
        <w:rPr>
          <w:rFonts w:ascii="ＭＳ 明朝" w:hAnsi="ＭＳ 明朝" w:cs="ＭＳ 明朝" w:eastAsia="ＭＳ 明朝"/>
          <w:color w:val="000000"/>
          <w:sz w:val="22"/>
        </w:rPr>
        <w:t>注</w:t>
      </w:r>
      <w:r>
        <w:rPr>
          <w:rFonts w:eastAsia="ＭＳ 明朝" w:cs="ＭＳ 明朝" w:ascii="ＭＳ 明朝" w:hAnsi="ＭＳ 明朝"/>
          <w:color w:val="000000"/>
          <w:sz w:val="22"/>
        </w:rPr>
        <w:t>)</w:t>
      </w:r>
      <w:r>
        <w:rPr>
          <w:rFonts w:ascii="ＭＳ 明朝" w:hAnsi="ＭＳ 明朝" w:cs="ＭＳ 明朝" w:eastAsia="ＭＳ 明朝"/>
          <w:color w:val="000000"/>
          <w:sz w:val="22"/>
        </w:rPr>
        <w:t>障害者の自立と社会参加を促進するために、障害者就労施設等の作業の</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受注確保や製品等の販路拡大等に取り組んでいる事業者団体である。</w:t>
      </w:r>
    </w:p>
    <w:p>
      <w:pPr>
        <w:pStyle w:val="Normal"/>
        <w:overflowPunct w:val="true"/>
        <w:textAlignment w:val="baseline"/>
        <w:rPr>
          <w:rFonts w:ascii="ＭＳ 明朝" w:hAnsi="ＭＳ 明朝" w:eastAsia="ＭＳ 明朝" w:cs="Times New Roman"/>
          <w:color w:val="000000"/>
          <w:sz w:val="22"/>
        </w:rPr>
      </w:pPr>
      <w:r>
        <w:rPr>
          <w:rFonts w:eastAsia="ＭＳ 明朝" w:cs="Times New Roman" w:ascii="ＭＳ 明朝" w:hAnsi="ＭＳ 明朝"/>
          <w:color w:val="000000"/>
          <w:sz w:val="22"/>
        </w:rPr>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９　調達方針及び調達実績の公表</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w:t>
      </w:r>
      <w:r>
        <w:rPr>
          <w:rFonts w:eastAsia="ＭＳ 明朝" w:cs="ＭＳ 明朝" w:ascii="ＭＳ 明朝" w:hAnsi="ＭＳ 明朝"/>
          <w:color w:val="000000"/>
          <w:sz w:val="22"/>
        </w:rPr>
        <w:t xml:space="preserve">(1) </w:t>
      </w:r>
      <w:r>
        <w:rPr>
          <w:rFonts w:ascii="ＭＳ 明朝" w:hAnsi="ＭＳ 明朝" w:cs="ＭＳ 明朝" w:eastAsia="ＭＳ 明朝"/>
          <w:color w:val="000000"/>
          <w:sz w:val="22"/>
        </w:rPr>
        <w:t>担当課は、本方針を策定し、又は見直した時は、ホームページ等により公表する。</w:t>
      </w:r>
    </w:p>
    <w:p>
      <w:pPr>
        <w:pStyle w:val="Normal"/>
        <w:overflowPunct w:val="true"/>
        <w:textAlignment w:val="baseline"/>
        <w:rPr>
          <w:rFonts w:ascii="ＭＳ 明朝" w:hAnsi="ＭＳ 明朝" w:eastAsia="ＭＳ 明朝" w:cs="ＭＳ 明朝"/>
          <w:color w:val="000000"/>
          <w:sz w:val="22"/>
        </w:rPr>
      </w:pPr>
      <w:r>
        <w:rPr>
          <w:rFonts w:ascii="ＭＳ 明朝" w:hAnsi="ＭＳ 明朝" w:cs="ＭＳ 明朝" w:eastAsia="ＭＳ 明朝"/>
          <w:color w:val="000000"/>
          <w:sz w:val="22"/>
        </w:rPr>
        <w:t>　　</w:t>
      </w:r>
      <w:r>
        <w:rPr>
          <w:rFonts w:eastAsia="ＭＳ 明朝" w:cs="ＭＳ 明朝" w:ascii="ＭＳ 明朝" w:hAnsi="ＭＳ 明朝"/>
          <w:color w:val="000000"/>
          <w:sz w:val="22"/>
        </w:rPr>
        <w:t xml:space="preserve">(2) </w:t>
      </w:r>
      <w:r>
        <w:rPr>
          <w:rFonts w:ascii="ＭＳ 明朝" w:hAnsi="ＭＳ 明朝" w:cs="ＭＳ 明朝" w:eastAsia="ＭＳ 明朝"/>
          <w:color w:val="000000"/>
          <w:sz w:val="22"/>
        </w:rPr>
        <w:t>担当課は、調達実績について、翌年度に概要を取りまとめ、ホームページ等により公　　</w:t>
      </w:r>
    </w:p>
    <w:p>
      <w:pPr>
        <w:pStyle w:val="Normal"/>
        <w:overflowPunct w:val="true"/>
        <w:ind w:firstLine="666"/>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表する。</w:t>
      </w:r>
    </w:p>
    <w:p>
      <w:pPr>
        <w:pStyle w:val="Normal"/>
        <w:overflowPunct w:val="true"/>
        <w:textAlignment w:val="baseline"/>
        <w:rPr>
          <w:rFonts w:ascii="ＭＳ 明朝" w:hAnsi="ＭＳ 明朝" w:eastAsia="ＭＳ 明朝" w:cs="Times New Roman"/>
          <w:color w:val="000000"/>
          <w:sz w:val="22"/>
        </w:rPr>
      </w:pPr>
      <w:r>
        <w:rPr>
          <w:rFonts w:eastAsia="ＭＳ 明朝" w:cs="Times New Roman" w:ascii="ＭＳ 明朝" w:hAnsi="ＭＳ 明朝"/>
          <w:color w:val="000000"/>
          <w:sz w:val="22"/>
        </w:rPr>
      </w:r>
    </w:p>
    <w:p>
      <w:pPr>
        <w:pStyle w:val="Normal"/>
        <w:overflowPunct w:val="true"/>
        <w:textAlignment w:val="baseline"/>
        <w:rPr>
          <w:rFonts w:ascii="ＭＳ 明朝" w:hAnsi="ＭＳ 明朝" w:eastAsia="ＭＳ 明朝" w:cs="Times New Roman"/>
          <w:color w:val="000000"/>
          <w:sz w:val="22"/>
        </w:rPr>
      </w:pPr>
      <w:r>
        <w:rPr>
          <w:rFonts w:eastAsia="ＭＳ 明朝" w:cs="ＭＳ 明朝" w:ascii="ＭＳ 明朝" w:hAnsi="ＭＳ 明朝"/>
          <w:color w:val="000000"/>
          <w:sz w:val="22"/>
        </w:rPr>
        <w:t>10</w:t>
      </w:r>
      <w:r>
        <w:rPr>
          <w:rFonts w:ascii="ＭＳ 明朝" w:hAnsi="ＭＳ 明朝" w:cs="ＭＳ 明朝" w:eastAsia="ＭＳ 明朝"/>
          <w:color w:val="000000"/>
          <w:sz w:val="22"/>
        </w:rPr>
        <w:t>　調達の目標</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前年度の調達実績を目安として、それを上回るよう努めるものとする。</w:t>
      </w:r>
    </w:p>
    <w:p>
      <w:pPr>
        <w:pStyle w:val="Normal"/>
        <w:overflowPunct w:val="true"/>
        <w:textAlignment w:val="baseline"/>
        <w:rPr>
          <w:rFonts w:ascii="ＭＳ 明朝" w:hAnsi="ＭＳ 明朝" w:eastAsia="ＭＳ 明朝" w:cs="Times New Roman"/>
          <w:color w:val="000000"/>
          <w:sz w:val="22"/>
        </w:rPr>
      </w:pPr>
      <w:r>
        <w:rPr>
          <w:rFonts w:eastAsia="ＭＳ 明朝" w:cs="Times New Roman" w:ascii="ＭＳ 明朝" w:hAnsi="ＭＳ 明朝"/>
          <w:color w:val="000000"/>
          <w:sz w:val="22"/>
        </w:rPr>
      </w:r>
    </w:p>
    <w:p>
      <w:pPr>
        <w:pStyle w:val="Normal"/>
        <w:overflowPunct w:val="true"/>
        <w:textAlignment w:val="baseline"/>
        <w:rPr>
          <w:rFonts w:ascii="ＭＳ 明朝" w:hAnsi="ＭＳ 明朝" w:eastAsia="ＭＳ 明朝" w:cs="Times New Roman"/>
          <w:color w:val="000000"/>
          <w:sz w:val="22"/>
        </w:rPr>
      </w:pPr>
      <w:r>
        <w:rPr>
          <w:rFonts w:eastAsia="ＭＳ 明朝" w:cs="ＭＳ 明朝" w:ascii="ＭＳ 明朝" w:hAnsi="ＭＳ 明朝"/>
          <w:color w:val="000000"/>
          <w:sz w:val="22"/>
        </w:rPr>
        <w:t>11</w:t>
      </w:r>
      <w:r>
        <w:rPr>
          <w:rFonts w:ascii="ＭＳ 明朝" w:hAnsi="ＭＳ 明朝" w:cs="ＭＳ 明朝" w:eastAsia="ＭＳ 明朝"/>
          <w:color w:val="000000"/>
          <w:sz w:val="22"/>
        </w:rPr>
        <w:t>　その他</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障害者就労施設等からの物品等の調達の推進に資するように、必要に応じて、本方針の</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見直しを行うものとする。</w:t>
      </w:r>
    </w:p>
    <w:p>
      <w:pPr>
        <w:pStyle w:val="Normal"/>
        <w:overflowPunct w:val="true"/>
        <w:textAlignment w:val="baseline"/>
        <w:rPr>
          <w:rFonts w:ascii="ＭＳ 明朝" w:hAnsi="ＭＳ 明朝" w:eastAsia="ＭＳ 明朝" w:cs="Times New Roman"/>
          <w:color w:val="000000"/>
          <w:sz w:val="22"/>
        </w:rPr>
      </w:pPr>
      <w:r>
        <w:rPr>
          <w:rFonts w:eastAsia="ＭＳ 明朝" w:cs="Times New Roman" w:ascii="ＭＳ 明朝" w:hAnsi="ＭＳ 明朝"/>
          <w:color w:val="000000"/>
          <w:sz w:val="22"/>
        </w:rPr>
      </w:r>
    </w:p>
    <w:p>
      <w:pPr>
        <w:pStyle w:val="Normal"/>
        <w:overflowPunct w:val="true"/>
        <w:textAlignment w:val="baseline"/>
        <w:rPr>
          <w:rFonts w:ascii="ＭＳ 明朝" w:hAnsi="ＭＳ 明朝" w:eastAsia="ＭＳ 明朝" w:cs="Times New Roman"/>
          <w:color w:val="000000"/>
          <w:sz w:val="22"/>
        </w:rPr>
      </w:pPr>
      <w:r>
        <w:rPr>
          <w:rFonts w:eastAsia="ＭＳ 明朝" w:cs="Times New Roman" w:ascii="ＭＳ 明朝" w:hAnsi="ＭＳ 明朝"/>
          <w:color w:val="000000"/>
          <w:sz w:val="22"/>
        </w:rPr>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附　則</w:t>
      </w:r>
    </w:p>
    <w:p>
      <w:pPr>
        <w:pStyle w:val="Normal"/>
        <w:overflowPunct w:val="true"/>
        <w:textAlignment w:val="baseline"/>
        <w:rPr>
          <w:rFonts w:ascii="ＭＳ 明朝" w:hAnsi="ＭＳ 明朝" w:eastAsia="ＭＳ 明朝" w:cs="Times New Roman"/>
          <w:color w:val="000000"/>
          <w:sz w:val="22"/>
        </w:rPr>
      </w:pPr>
      <w:r>
        <w:rPr>
          <w:rFonts w:ascii="ＭＳ 明朝" w:hAnsi="ＭＳ 明朝" w:cs="ＭＳ 明朝" w:eastAsia="ＭＳ 明朝"/>
          <w:color w:val="000000"/>
          <w:sz w:val="22"/>
        </w:rPr>
        <w:t>　この方針は、令和</w:t>
      </w:r>
      <w:r>
        <w:rPr>
          <w:rFonts w:eastAsia="ＭＳ 明朝" w:cs="ＭＳ 明朝" w:ascii="ＭＳ 明朝" w:hAnsi="ＭＳ 明朝"/>
          <w:color w:val="000000"/>
          <w:sz w:val="22"/>
        </w:rPr>
        <w:t>4</w:t>
      </w:r>
      <w:r>
        <w:rPr>
          <w:rFonts w:ascii="ＭＳ 明朝" w:hAnsi="ＭＳ 明朝" w:cs="ＭＳ 明朝" w:eastAsia="ＭＳ 明朝"/>
          <w:color w:val="000000"/>
          <w:sz w:val="22"/>
        </w:rPr>
        <w:t>年</w:t>
      </w:r>
      <w:r>
        <w:rPr>
          <w:rFonts w:eastAsia="ＭＳ 明朝" w:cs="ＭＳ 明朝" w:ascii="ＭＳ 明朝" w:hAnsi="ＭＳ 明朝"/>
          <w:color w:val="000000"/>
          <w:sz w:val="22"/>
        </w:rPr>
        <w:t>7</w:t>
      </w:r>
      <w:r>
        <w:rPr>
          <w:rFonts w:ascii="ＭＳ 明朝" w:hAnsi="ＭＳ 明朝" w:cs="ＭＳ 明朝" w:eastAsia="ＭＳ 明朝"/>
          <w:color w:val="000000"/>
          <w:sz w:val="22"/>
        </w:rPr>
        <w:t>月</w:t>
      </w:r>
      <w:r>
        <w:rPr>
          <w:rFonts w:eastAsia="ＭＳ 明朝" w:cs="ＭＳ 明朝" w:ascii="ＭＳ 明朝" w:hAnsi="ＭＳ 明朝"/>
          <w:color w:val="000000"/>
          <w:sz w:val="22"/>
        </w:rPr>
        <w:t>1</w:t>
      </w:r>
      <w:r>
        <w:rPr>
          <w:rFonts w:ascii="ＭＳ 明朝" w:hAnsi="ＭＳ 明朝" w:cs="ＭＳ 明朝" w:eastAsia="ＭＳ 明朝"/>
          <w:color w:val="000000"/>
          <w:sz w:val="22"/>
        </w:rPr>
        <w:t>日から施行する</w:t>
      </w:r>
      <w:bookmarkStart w:id="0" w:name="_GoBack"/>
      <w:bookmarkEnd w:id="0"/>
      <w:r>
        <w:rPr>
          <w:rFonts w:ascii="ＭＳ 明朝" w:hAnsi="ＭＳ 明朝" w:cs="ＭＳ 明朝" w:eastAsia="ＭＳ 明朝"/>
          <w:color w:val="000000"/>
          <w:sz w:val="22"/>
        </w:rPr>
        <w:t>。</w:t>
      </w:r>
    </w:p>
    <w:p>
      <w:pPr>
        <w:pStyle w:val="Normal"/>
        <w:rPr/>
      </w:pPr>
      <w:r>
        <w:rPr/>
      </w:r>
    </w:p>
    <w:sectPr>
      <w:type w:val="nextPage"/>
      <w:pgSz w:w="11906" w:h="16838"/>
      <w:pgMar w:left="1360" w:right="1190" w:header="0" w:top="1360" w:footer="0" w:bottom="1190" w:gutter="0"/>
      <w:pgNumType w:start="1" w:fmt="decimal"/>
      <w:formProt w:val="false"/>
      <w:textDirection w:val="lrTb"/>
      <w:docGrid w:type="linesAndChars" w:linePitch="36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Times New Roman">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游明朝" w:hAnsi="游明朝" w:eastAsia="游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rsid w:val="006f17cb"/>
    <w:rPr>
      <w:rFonts w:ascii="游ゴシック Light" w:hAnsi="游ゴシック Light" w:eastAsia="游ゴシック Light" w:cs="" w:asciiTheme="majorHAnsi" w:cstheme="majorBidi" w:eastAsiaTheme="majorEastAsia" w:hAnsiTheme="majorHAnsi"/>
      <w:sz w:val="18"/>
      <w:szCs w:val="18"/>
    </w:rPr>
  </w:style>
  <w:style w:type="paragraph" w:styleId="Style15">
    <w:name w:val="見出し"/>
    <w:basedOn w:val="Normal"/>
    <w:next w:val="Style16"/>
    <w:qFormat/>
    <w:pPr>
      <w:keepNext/>
      <w:spacing w:before="240" w:after="120"/>
    </w:pPr>
    <w:rPr>
      <w:rFonts w:ascii="Liberation Sans" w:hAnsi="Liberation Sans" w:eastAsia="TakaoPGothic" w:cs="TakaoPGothic"/>
      <w:sz w:val="28"/>
      <w:szCs w:val="28"/>
    </w:rPr>
  </w:style>
  <w:style w:type="paragraph" w:styleId="Style16">
    <w:name w:val="Body Text"/>
    <w:basedOn w:val="Normal"/>
    <w:pPr>
      <w:spacing w:lineRule="auto" w:line="288"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i/>
      <w:iCs/>
      <w:sz w:val="24"/>
      <w:szCs w:val="24"/>
    </w:rPr>
  </w:style>
  <w:style w:type="paragraph" w:styleId="Style19">
    <w:name w:val="索引"/>
    <w:basedOn w:val="Normal"/>
    <w:qFormat/>
    <w:pPr>
      <w:suppressLineNumbers/>
    </w:pPr>
    <w:rPr/>
  </w:style>
  <w:style w:type="paragraph" w:styleId="BalloonText">
    <w:name w:val="Balloon Text"/>
    <w:basedOn w:val="Normal"/>
    <w:link w:val="a4"/>
    <w:uiPriority w:val="99"/>
    <w:semiHidden/>
    <w:unhideWhenUsed/>
    <w:qFormat/>
    <w:rsid w:val="006f17cb"/>
    <w:pPr/>
    <w:rPr>
      <w:rFonts w:ascii="游ゴシック Light" w:hAnsi="游ゴシック Light" w:eastAsia="游ゴシック Light"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LibreOffice/5.1.6.2$Linux_X86_64 LibreOffice_project/10m0$Build-2</Application>
  <Pages>2</Pages>
  <Words>268</Words>
  <CharactersWithSpaces>1533</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2021-08-23T01:28:00Z</dcterms:created>
  <dc:creator>山城　由未</dc:creator>
  <dc:description/>
  <dc:language>ja-JP</dc:language>
  <cp:lastModifiedBy>勝連　健治</cp:lastModifiedBy>
  <cp:lastPrinted>2022-06-27T00:44:00Z</cp:lastPrinted>
  <dcterms:modified xsi:type="dcterms:W3CDTF">2022-07-05T04:34:00Z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